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4E3FC" w14:textId="4F662A1E" w:rsidR="00EE20EB" w:rsidRPr="00224566" w:rsidRDefault="009749C0" w:rsidP="00D33DE0">
      <w:pPr>
        <w:jc w:val="right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9 marzo</w:t>
      </w:r>
      <w:r w:rsidR="00224566" w:rsidRPr="0022456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2026 </w:t>
      </w:r>
    </w:p>
    <w:p w14:paraId="5C36EB5C" w14:textId="77777777" w:rsidR="00224566" w:rsidRDefault="00224566" w:rsidP="00224566">
      <w:pPr>
        <w:jc w:val="right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</w:p>
    <w:p w14:paraId="30FCF803" w14:textId="75C84E80" w:rsidR="00EE20EB" w:rsidRDefault="00EE20EB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  <w:r>
        <w:rPr>
          <w:rFonts w:ascii="Helvetica" w:hAnsi="Helvetica" w:cs="Arial"/>
          <w:b/>
          <w:bCs/>
          <w:kern w:val="2"/>
          <w:sz w:val="28"/>
          <w:szCs w:val="28"/>
          <w14:ligatures w14:val="standardContextual"/>
        </w:rPr>
        <w:t>COMUNICATO STAMPA</w:t>
      </w:r>
    </w:p>
    <w:p w14:paraId="470CA73A" w14:textId="77777777" w:rsidR="00EE20EB" w:rsidRDefault="00EE20EB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</w:p>
    <w:p w14:paraId="30490898" w14:textId="77777777" w:rsidR="0054517C" w:rsidRDefault="0054517C" w:rsidP="00FA0655">
      <w:pPr>
        <w:jc w:val="both"/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</w:pPr>
    </w:p>
    <w:p w14:paraId="27E925A6" w14:textId="6ADEB774" w:rsidR="0054517C" w:rsidRPr="00131C14" w:rsidRDefault="0054517C" w:rsidP="009A6790">
      <w:pPr>
        <w:jc w:val="center"/>
        <w:rPr>
          <w:rFonts w:ascii="Helvetica" w:eastAsiaTheme="minorHAnsi" w:hAnsi="Helvetica" w:cs="Arial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131C14">
        <w:rPr>
          <w:rFonts w:ascii="Helvetica" w:eastAsiaTheme="minorHAnsi" w:hAnsi="Helvetica" w:cs="Arial"/>
          <w:b/>
          <w:bCs/>
          <w:kern w:val="2"/>
          <w:sz w:val="32"/>
          <w:szCs w:val="32"/>
          <w:lang w:eastAsia="en-US"/>
          <w14:ligatures w14:val="standardContextual"/>
        </w:rPr>
        <w:t xml:space="preserve">GEWISS </w:t>
      </w:r>
      <w:proofErr w:type="spellStart"/>
      <w:r w:rsidRPr="00131C14">
        <w:rPr>
          <w:rFonts w:ascii="Helvetica" w:eastAsiaTheme="minorHAnsi" w:hAnsi="Helvetica" w:cs="Arial"/>
          <w:b/>
          <w:bCs/>
          <w:kern w:val="2"/>
          <w:sz w:val="32"/>
          <w:szCs w:val="32"/>
          <w:lang w:eastAsia="en-US"/>
          <w14:ligatures w14:val="standardContextual"/>
        </w:rPr>
        <w:t>LightZone</w:t>
      </w:r>
      <w:proofErr w:type="spellEnd"/>
      <w:r w:rsidRPr="00131C14">
        <w:rPr>
          <w:rFonts w:ascii="Helvetica" w:eastAsiaTheme="minorHAnsi" w:hAnsi="Helvetica" w:cs="Arial"/>
          <w:b/>
          <w:bCs/>
          <w:kern w:val="2"/>
          <w:sz w:val="32"/>
          <w:szCs w:val="32"/>
          <w:lang w:eastAsia="en-US"/>
          <w14:ligatures w14:val="standardContextual"/>
        </w:rPr>
        <w:t xml:space="preserve"> a Light + Building 2026: l’illuminazione del futuro in un inedito Hub Urbano</w:t>
      </w:r>
    </w:p>
    <w:p w14:paraId="7D18737F" w14:textId="2ADF66C8" w:rsidR="0054517C" w:rsidRPr="0054517C" w:rsidRDefault="0054517C" w:rsidP="009A6790">
      <w:pPr>
        <w:jc w:val="center"/>
      </w:pPr>
      <w:r w:rsidRPr="00131C1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Il nuovo </w:t>
      </w:r>
      <w:r w:rsidR="003C570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ecosistema </w:t>
      </w:r>
      <w:r w:rsidR="000575E5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>della</w:t>
      </w:r>
      <w:r w:rsidRPr="00131C1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 luce</w:t>
      </w:r>
      <w:r w:rsidR="00646B8A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131C1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>GEWISS</w:t>
      </w:r>
      <w:r w:rsidR="00646B8A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 </w:t>
      </w:r>
      <w:proofErr w:type="spellStart"/>
      <w:r w:rsidR="00646B8A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>LightZone</w:t>
      </w:r>
      <w:proofErr w:type="spellEnd"/>
      <w:r w:rsidRPr="00131C1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0575E5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>offre un’</w:t>
      </w:r>
      <w:r w:rsidRPr="00131C14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 xml:space="preserve">esperienza </w:t>
      </w:r>
      <w:r w:rsidR="000575E5">
        <w:rPr>
          <w:rFonts w:ascii="Helvetica" w:eastAsiaTheme="minorHAnsi" w:hAnsi="Helvetica" w:cs="Arial"/>
          <w:i/>
          <w:iCs/>
          <w:kern w:val="2"/>
          <w:sz w:val="28"/>
          <w:szCs w:val="28"/>
          <w:lang w:eastAsia="en-US"/>
          <w14:ligatures w14:val="standardContextual"/>
        </w:rPr>
        <w:t>immersiva dell’illuminazione</w:t>
      </w:r>
    </w:p>
    <w:p w14:paraId="09F9E7C1" w14:textId="77777777" w:rsidR="00F54FE4" w:rsidRPr="006A0CB6" w:rsidRDefault="00F54FE4" w:rsidP="00DB3473">
      <w:pP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0DE0C23B" w14:textId="77777777" w:rsidR="009A6790" w:rsidRDefault="009A6790" w:rsidP="00350DC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393C58C8" w14:textId="77777777" w:rsidR="009A6790" w:rsidRDefault="009A6790" w:rsidP="00350DC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4B8EFF87" w14:textId="5DD566FF" w:rsidR="00350DC3" w:rsidRPr="00670F57" w:rsidRDefault="00670F57" w:rsidP="00350DC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L’identità di </w:t>
      </w:r>
      <w:r w:rsidR="000575E5" w:rsidRPr="009A6790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G</w:t>
      </w:r>
      <w:r w:rsidR="00174702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EWISS</w:t>
      </w:r>
      <w:r w:rsidR="000575E5" w:rsidRPr="009A6790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il nuovo </w:t>
      </w:r>
      <w:r w:rsidR="000575E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polo</w:t>
      </w:r>
      <w:r w:rsidR="000575E5"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lighting </w:t>
      </w:r>
      <w:r w:rsidR="000575E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di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GEWISS che riunisce tre eccellenze del settore —</w:t>
      </w:r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BEGHELLI, PERFORMANCE </w:t>
      </w:r>
      <w:proofErr w:type="spellStart"/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iN</w:t>
      </w:r>
      <w:proofErr w:type="spellEnd"/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LIGHTING e </w:t>
      </w:r>
      <w:r w:rsidR="000575E5"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TVIL</w:t>
      </w:r>
      <w:r w:rsidR="000575E5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IGHT</w:t>
      </w:r>
      <w:r w:rsidR="000575E5"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— prende forma a Light + Building 2026 attraverso un </w:t>
      </w:r>
      <w:r w:rsidRPr="00670F57">
        <w:rPr>
          <w:rFonts w:ascii="Helvetica" w:eastAsiaTheme="minorHAnsi" w:hAnsi="Helvetica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Hub Urbano</w:t>
      </w:r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esperienziale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. Non un tradizionale </w:t>
      </w:r>
      <w:r w:rsidR="005D2F5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spazio espositivo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ma </w:t>
      </w:r>
      <w:r w:rsidR="005D2F5E">
        <w:rPr>
          <w:rFonts w:ascii="Arial" w:hAnsi="Arial" w:cs="Arial"/>
          <w:color w:val="121212"/>
          <w:shd w:val="clear" w:color="auto" w:fill="FFFFFF"/>
        </w:rPr>
        <w:t>un percorso immersivo fatto di luce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che si concretizza in modalità e soluzioni personalizzate per i diversi contesti applicativi. 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Qui illuminazione, sicurezza, performance e tecnologie smart dialogano, accompagnando il visitatore </w:t>
      </w:r>
      <w:r w:rsidR="005D2F5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attraverso</w:t>
      </w:r>
      <w:r w:rsidRPr="00670F57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sei </w:t>
      </w:r>
      <w:r w:rsidR="0075222E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applicazioni reali</w:t>
      </w:r>
      <w:r w:rsidR="0075222E"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70F5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che mostrano concretamente come la luce possa modellare gli spazi, supportare le persone e contribuire allo sviluppo di ambienti più sicuri, efficienti e sostenibili.</w:t>
      </w:r>
    </w:p>
    <w:p w14:paraId="58566B2A" w14:textId="77777777" w:rsidR="00670F57" w:rsidRDefault="00670F57" w:rsidP="00350DC3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3A226FBE" w14:textId="20C0FB65" w:rsidR="006936A8" w:rsidRP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Residential</w:t>
      </w:r>
      <w:proofErr w:type="spellEnd"/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75222E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&amp; </w:t>
      </w:r>
      <w:proofErr w:type="spellStart"/>
      <w:r w:rsidR="0075222E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Hospitality</w:t>
      </w:r>
      <w:proofErr w:type="spellEnd"/>
      <w:r w:rsidR="0075222E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- Comfort, </w:t>
      </w:r>
      <w:r w:rsidR="0075222E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ritorno alla natura</w:t>
      </w:r>
      <w:r w:rsidR="0075222E"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 benessere</w:t>
      </w:r>
    </w:p>
    <w:p w14:paraId="560BD202" w14:textId="16DB8F93" w:rsidR="006936A8" w:rsidRDefault="006936A8" w:rsidP="006936A8">
      <w:pPr>
        <w:outlineLvl w:val="2"/>
        <w:rPr>
          <w:rFonts w:ascii="Helvetica" w:hAnsi="Helvetica" w:cs="Arial"/>
          <w:kern w:val="2"/>
          <w:sz w:val="22"/>
          <w:szCs w:val="22"/>
          <w14:ligatures w14:val="standardContextual"/>
        </w:rPr>
      </w:pP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Un ambiente che mostra come l’illuminazione valorizzi spazi residenziali e </w:t>
      </w:r>
      <w:proofErr w:type="spellStart"/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hospitality</w:t>
      </w:r>
      <w:proofErr w:type="spellEnd"/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creando atmosfere accoglienti e rafforzando 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il legame tra uomo e natura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. Ispirata alla 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cultura giapponese che traduce nel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giardino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zen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il perfetto equilibrio tra uomo e natura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la luce 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diventa elemento di connessione tra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materia, paesaggio </w:t>
      </w:r>
      <w:proofErr w:type="gramStart"/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</w:t>
      </w:r>
      <w:proofErr w:type="gramEnd"/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75222E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equilibrio</w:t>
      </w:r>
      <w:r w:rsidR="0075222E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naturale, trasformandosi in elemento emozionale e progettuale capace di generare armonia, orientamento e qualità percettiva</w:t>
      </w:r>
      <w:r w:rsidRPr="006936A8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degli spazi.</w:t>
      </w:r>
      <w:r w:rsidR="0075222E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  <w:proofErr w:type="gramStart"/>
      <w:r w:rsidR="0075222E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La forma della fontana giapponese in pietra </w:t>
      </w:r>
      <w:proofErr w:type="spellStart"/>
      <w:r w:rsidR="0075222E">
        <w:rPr>
          <w:rFonts w:ascii="Helvetica" w:hAnsi="Helvetica" w:cs="Arial"/>
          <w:kern w:val="2"/>
          <w:sz w:val="22"/>
          <w:szCs w:val="22"/>
          <w14:ligatures w14:val="standardContextual"/>
        </w:rPr>
        <w:t>tsukubai</w:t>
      </w:r>
      <w:proofErr w:type="spellEnd"/>
      <w:r w:rsidR="0075222E">
        <w:rPr>
          <w:rFonts w:ascii="Helvetica" w:hAnsi="Helvetica" w:cs="Arial"/>
          <w:kern w:val="2"/>
          <w:sz w:val="22"/>
          <w:szCs w:val="22"/>
          <w14:ligatures w14:val="standardContextual"/>
        </w:rPr>
        <w:t>,</w:t>
      </w:r>
      <w:proofErr w:type="gramEnd"/>
      <w:r w:rsidR="0075222E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diventa </w:t>
      </w:r>
      <w:r w:rsidR="00821CAB">
        <w:rPr>
          <w:rFonts w:ascii="Helvetica" w:hAnsi="Helvetica" w:cs="Arial"/>
          <w:kern w:val="2"/>
          <w:sz w:val="22"/>
          <w:szCs w:val="22"/>
          <w14:ligatures w14:val="standardContextual"/>
        </w:rPr>
        <w:t>forma di luce e armonia naturale.</w:t>
      </w:r>
      <w:r w:rsidRPr="006936A8">
        <w:rPr>
          <w:rFonts w:ascii="Helvetica" w:hAnsi="Helvetica" w:cs="Arial"/>
          <w:kern w:val="2"/>
          <w:sz w:val="22"/>
          <w:szCs w:val="22"/>
          <w14:ligatures w14:val="standardContextual"/>
        </w:rPr>
        <w:t> </w:t>
      </w:r>
    </w:p>
    <w:p w14:paraId="339A3430" w14:textId="77777777" w:rsidR="006936A8" w:rsidRPr="006936A8" w:rsidRDefault="006936A8" w:rsidP="006936A8">
      <w:pPr>
        <w:outlineLvl w:val="2"/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</w:pPr>
    </w:p>
    <w:p w14:paraId="5C0443A5" w14:textId="001FAE55" w:rsidR="006936A8" w:rsidRPr="002026FB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val="en-GB" w:eastAsia="en-US"/>
          <w14:ligatures w14:val="standardContextual"/>
        </w:rPr>
      </w:pPr>
      <w:r w:rsidRPr="002026FB">
        <w:rPr>
          <w:rFonts w:ascii="Helvetica" w:eastAsiaTheme="minorHAnsi" w:hAnsi="Helvetica" w:cs="Arial"/>
          <w:b/>
          <w:bCs/>
          <w:kern w:val="2"/>
          <w:sz w:val="22"/>
          <w:szCs w:val="22"/>
          <w:lang w:val="en-GB" w:eastAsia="en-US"/>
          <w14:ligatures w14:val="standardContextual"/>
        </w:rPr>
        <w:t xml:space="preserve">Office - Human centric lighting e </w:t>
      </w:r>
      <w:r w:rsidR="00821CAB">
        <w:rPr>
          <w:rFonts w:ascii="Helvetica" w:eastAsiaTheme="minorHAnsi" w:hAnsi="Helvetica" w:cs="Arial"/>
          <w:b/>
          <w:bCs/>
          <w:kern w:val="2"/>
          <w:sz w:val="22"/>
          <w:szCs w:val="22"/>
          <w:lang w:val="en-GB" w:eastAsia="en-US"/>
          <w14:ligatures w14:val="standardContextual"/>
        </w:rPr>
        <w:t>future proof</w:t>
      </w:r>
    </w:p>
    <w:p w14:paraId="4AF32C0F" w14:textId="0798AAE2" w:rsidR="00225EFC" w:rsidRDefault="0082509D" w:rsidP="006936A8">
      <w:pPr>
        <w:outlineLvl w:val="2"/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Nel mondo office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il ruolo della luce 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gioca un ruolo fondamentale 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nel migliorare qualità degli ambienti di lavoro e benessere delle persone. Le soluzioni presentate mostrano come un’illuminazione dinamica e connessa accompagni i ritmi della giornata, adattandosi alle attività e contribuendo a creare spazi di lavoro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più flessibili e confortevoli. Ma sempre di più, in ottica </w:t>
      </w:r>
      <w:proofErr w:type="gramStart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si</w:t>
      </w:r>
      <w:proofErr w:type="gramEnd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sostenibilità </w:t>
      </w:r>
      <w:proofErr w:type="gramStart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</w:t>
      </w:r>
      <w:proofErr w:type="gramEnd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eco design è importante avere soluzioni a prova di futuro, in grado di evolvere ed essere aggiornati anche durante il normale ciclo di vita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 </w:t>
      </w:r>
    </w:p>
    <w:p w14:paraId="5A4D576D" w14:textId="5B26B4EB" w:rsidR="004F76F4" w:rsidRDefault="004F76F4" w:rsidP="006936A8">
      <w:pPr>
        <w:outlineLvl w:val="2"/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In quest’area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è possibile scoprire </w:t>
      </w:r>
      <w:r w:rsidR="006C3D0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il nuovo </w:t>
      </w:r>
      <w:r w:rsidRPr="009A6790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SL 6</w:t>
      </w:r>
      <w:r w:rsidRPr="004F76F4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29+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di PERFORMANCE </w:t>
      </w:r>
      <w:proofErr w:type="spellStart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iN</w:t>
      </w:r>
      <w:proofErr w:type="spellEnd"/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LIGHTING. Questa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linea di prodotti arricchisce ulteriormente l’offerta dell’azienda con soluzioni che consentono, anche dopo l’installazione e l’utilizzo, 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interventi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evolutivi con pochi e</w:t>
      </w:r>
      <w:r w:rsidR="0082509D"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semplici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gesti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grazie a una progettazione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del corpo illuminante 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che facilita la sostituzione e l’aggiornamento dei component</w:t>
      </w:r>
      <w:r w:rsidR="000213C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i; i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LED sostituibili assicurano maggiore durata nel tempo e manutenzione agevolata, riducendo costi e sprechi. L’illuminazione è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personalizzabile, confortevole</w:t>
      </w:r>
      <w:r w:rsidR="0082509D"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F76F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ed efficiente dal punto di vista energetico, con un’emissione controllata che limita l’abbagliamento e migliora il comfort visivo.</w:t>
      </w:r>
    </w:p>
    <w:p w14:paraId="40089D13" w14:textId="77777777" w:rsidR="006936A8" w:rsidRDefault="006936A8" w:rsidP="006936A8">
      <w:pPr>
        <w:outlineLvl w:val="2"/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0EC5A561" w14:textId="77777777" w:rsidR="009A6790" w:rsidRPr="006936A8" w:rsidRDefault="009A6790" w:rsidP="006936A8">
      <w:pPr>
        <w:outlineLvl w:val="2"/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385F3B8E" w14:textId="5AE87856" w:rsidR="006936A8" w:rsidRP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Industry 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-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Efficienza, affidabilità e sicurezza</w:t>
      </w:r>
    </w:p>
    <w:p w14:paraId="2F27CDD8" w14:textId="561E2AC7" w:rsidR="009334CD" w:rsidRDefault="006936A8" w:rsidP="00F5677F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Quest’area è dedicata agli ambienti industriali ad alta complessità operativa, dove sistemi illuminotecnici evoluti rispondono a esigenze specifiche di task lighting e distribuzione ottimizzata della luce. L’integrazione tra apparecchi connessi e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la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gestione intelligente consent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ono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di migliorare 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l’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efficienza energetica, ridurre i costi operativi e garantire continuità, sicurezza e comfort visivo nei processi produttivi. </w:t>
      </w:r>
    </w:p>
    <w:p w14:paraId="16AAB729" w14:textId="1CEA5AE2" w:rsidR="004F76F4" w:rsidRPr="00F5677F" w:rsidRDefault="009334CD" w:rsidP="00F5677F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Di </w:t>
      </w:r>
      <w:r w:rsidRPr="0076248C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BEGHELLI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si segnala in particolare 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la serie </w:t>
      </w:r>
      <w:r w:rsidR="004F76F4" w:rsidRPr="009334CD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Acciaio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apparecchi</w:t>
      </w:r>
      <w:r w:rsidR="0082509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o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realizzato in acciaio con grado di protezione </w:t>
      </w:r>
      <w:r w:rsidR="00231B99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IP6</w:t>
      </w:r>
      <w:r w:rsidR="002026F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6</w:t>
      </w:r>
      <w:r w:rsidR="00C70DC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e IK0</w:t>
      </w:r>
      <w:r w:rsidR="002026F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7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progettato per garantire massima resistenza in ambienti 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gravosi 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 ad alta sollecitazione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ed </w:t>
      </w:r>
      <w:r w:rsidR="00CF17E3" w:rsidRPr="009A6790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Acciaio Extreme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con corpo in acciaio inox</w:t>
      </w:r>
      <w:r w:rsidR="002026F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 IK09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 Ideal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per contesti industriali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o per esterni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 aree soggette a umidità, polvere o agenti chimici, assicura</w:t>
      </w:r>
      <w:r w:rsidR="009A6790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no</w:t>
      </w:r>
      <w:r w:rsidRPr="009334CD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durabilità nel tempo, facilità di manutenzione e prestazioni luminose affidabili anche in condizioni operative particolarmente gravose.</w:t>
      </w:r>
      <w:r w:rsidR="00CF17E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31268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Entrambe disponibili in versione ATEX per installazione in ambienti con atmosfera potenzialmente esplosiva.</w:t>
      </w:r>
    </w:p>
    <w:p w14:paraId="3A082B2B" w14:textId="77777777" w:rsidR="00131C14" w:rsidRDefault="00131C14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BBC2C9D" w14:textId="71789565" w:rsidR="006936A8" w:rsidRP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Emergency 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-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Continuità operativa e protezione</w:t>
      </w:r>
    </w:p>
    <w:p w14:paraId="34BAE55E" w14:textId="3F393E43" w:rsidR="0024473C" w:rsidRDefault="00407DAB" w:rsidP="00670F57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La sezione dedicata all’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Emergency evidenzia il ruolo cruciale dell’illuminazione di emergenza nella gestione delle situazioni critiche</w:t>
      </w:r>
      <w:r w:rsidR="00CE11C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CE11CB">
        <w:rPr>
          <w:rFonts w:ascii="Helvetica" w:hAnsi="Helvetica"/>
          <w:color w:val="000000"/>
          <w:sz w:val="22"/>
          <w:szCs w:val="22"/>
        </w:rPr>
        <w:t>garantendo conformità normativa e protezione degli occupanti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. </w:t>
      </w:r>
      <w:r w:rsidR="00CE11CB">
        <w:rPr>
          <w:rFonts w:ascii="Helvetica" w:hAnsi="Helvetica"/>
          <w:color w:val="000000"/>
          <w:sz w:val="22"/>
          <w:szCs w:val="22"/>
        </w:rPr>
        <w:t>I sistemi si attivano immediatamente e l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a luce diventa guida e </w:t>
      </w:r>
      <w:r w:rsidR="00CE11C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sicurezza</w:t>
      </w:r>
      <w:r w:rsidR="00CE11CB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nei momenti di maggiore necessità, assicurando visibilità immediata, orientamento efficace </w:t>
      </w:r>
      <w:r w:rsidR="00CE11CB">
        <w:rPr>
          <w:rFonts w:ascii="Helvetica" w:hAnsi="Helvetica"/>
          <w:color w:val="000000"/>
          <w:sz w:val="22"/>
          <w:szCs w:val="22"/>
        </w:rPr>
        <w:t xml:space="preserve">verso percorsi sicuri 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 protezione delle persone</w:t>
      </w:r>
      <w:r w:rsidR="009A6790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</w:t>
      </w:r>
      <w:r w:rsidR="006936A8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anche nelle condizioni più difficili. </w:t>
      </w:r>
      <w:r w:rsidR="0024473C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In quest’area 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vengono present</w:t>
      </w:r>
      <w:r w:rsidR="00F06E1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a</w:t>
      </w:r>
      <w: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te le ultime novità </w:t>
      </w:r>
      <w:r w:rsidR="0024473C" w:rsidRPr="0076248C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BEGHELLI</w:t>
      </w:r>
      <w:r w:rsidR="009A6790" w:rsidRPr="009A6790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</w:t>
      </w:r>
      <w:r w:rsidRPr="009A6790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quali</w:t>
      </w:r>
    </w:p>
    <w:p w14:paraId="4A146C46" w14:textId="101BD15B" w:rsidR="0024473C" w:rsidRPr="009A6790" w:rsidRDefault="0024473C" w:rsidP="00407DAB">
      <w:pPr>
        <w:pStyle w:val="Paragrafoelenco"/>
        <w:numPr>
          <w:ilvl w:val="0"/>
          <w:numId w:val="2"/>
        </w:numPr>
        <w:spacing w:after="0" w:line="240" w:lineRule="auto"/>
        <w:ind w:left="777" w:hanging="357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proofErr w:type="spellStart"/>
      <w:r w:rsidRPr="0024473C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ExitPro</w:t>
      </w:r>
      <w:proofErr w:type="spellEnd"/>
      <w:r w:rsidR="00407DA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proofErr w:type="gramStart"/>
      <w:r w:rsidR="00407DA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e</w:t>
      </w:r>
      <w:proofErr w:type="gramEnd"/>
      <w:r w:rsidR="00407DA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Exit Pro Combo</w:t>
      </w:r>
      <w:r w:rsidR="00D104DA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: </w:t>
      </w:r>
      <w:r w:rsidR="00A52579" w:rsidRPr="00A5257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nuova </w:t>
      </w:r>
      <w:r w:rsidR="00A5257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s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egnaletica di uscita di emergenza ad alta luminanza progettata per una facile installazione, disponibile</w:t>
      </w:r>
      <w:r w:rsid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anche in version</w:t>
      </w:r>
      <w:r w:rsidR="00C70DC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e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impermeabil</w:t>
      </w:r>
      <w:r w:rsidR="00C70DC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e</w:t>
      </w:r>
      <w:r w:rsidR="002026F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IP65</w:t>
      </w:r>
      <w:r w:rsidR="00407DA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. </w:t>
      </w:r>
      <w:r w:rsidR="00407DA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L</w:t>
      </w:r>
      <w:r w:rsidR="00231B99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a </w:t>
      </w:r>
      <w:r w:rsidR="00C70DC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versione Combo integra</w:t>
      </w:r>
      <w:r w:rsidR="00407DA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alla </w:t>
      </w:r>
      <w:proofErr w:type="spellStart"/>
      <w:r w:rsidR="00407DA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segnalletica</w:t>
      </w:r>
      <w:proofErr w:type="spellEnd"/>
      <w:r w:rsidR="00407DA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anche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C70DC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la </w:t>
      </w:r>
      <w:r w:rsidR="002026F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funzione</w:t>
      </w:r>
      <w:r w:rsidR="00C70DC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di 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illuminazione del percorso di esodo</w:t>
      </w:r>
      <w:r w:rsidR="00C70DC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, che si attiva solo durante l’emergenza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; l’ottica può essere configurata per illuminare uno o entrambi i lati della via di fuga</w:t>
      </w:r>
      <w:r w:rsid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;</w:t>
      </w:r>
    </w:p>
    <w:p w14:paraId="59B89DEE" w14:textId="7AAAD390" w:rsidR="0024473C" w:rsidRPr="00D104DA" w:rsidRDefault="0024473C" w:rsidP="0024473C">
      <w:pPr>
        <w:pStyle w:val="Paragrafoelenco"/>
        <w:numPr>
          <w:ilvl w:val="0"/>
          <w:numId w:val="2"/>
        </w:numPr>
        <w:spacing w:after="0" w:line="240" w:lineRule="auto"/>
        <w:ind w:left="777" w:hanging="357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24473C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Nube</w:t>
      </w:r>
      <w:r w:rsidR="00D104DA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: </w:t>
      </w:r>
      <w:r w:rsidR="00407DAB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la 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piattaforma </w:t>
      </w:r>
      <w:r w:rsidR="00C70DC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in C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loud progettata per accedere, gestire e monitorare </w:t>
      </w:r>
      <w:r w:rsidR="00CF17E3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gli impianti 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di illuminazione ordinaria e</w:t>
      </w:r>
      <w:r w:rsidR="00231B9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di emergenza</w:t>
      </w:r>
      <w:r w:rsidR="00407DA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Beghelli</w:t>
      </w:r>
      <w:r w:rsidR="00D104DA" w:rsidRPr="00D104DA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.</w:t>
      </w:r>
    </w:p>
    <w:p w14:paraId="595025FF" w14:textId="77777777" w:rsid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5436817B" w14:textId="0683299C" w:rsidR="006936A8" w:rsidRP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Sport 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-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Prestazioni ed </w:t>
      </w:r>
      <w:proofErr w:type="spellStart"/>
      <w:r w:rsidR="00407DAB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experience</w:t>
      </w:r>
      <w:proofErr w:type="spellEnd"/>
    </w:p>
    <w:p w14:paraId="4A1236E8" w14:textId="406C7167" w:rsidR="006936A8" w:rsidRPr="006936A8" w:rsidRDefault="006936A8" w:rsidP="006936A8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L’area Sport mostra come la luce possa trasformare gli impianti sportivi in ambienti coinvolgenti. Scenari luminosi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di luce dinamica e colorata, adatti ai momenti dedicati agli spettacoli o all’illuminazione architetturale degli impianti sportivi, si alternano con l’illuminazione altamente professionale dei momenti di gara e competizione, in linea con gli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standard professionali</w:t>
      </w:r>
      <w:r w:rsidR="00F5677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richiesti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dalle varie leghe e associazioni, fino a</w:t>
      </w:r>
      <w:r w:rsidR="009A6790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d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arrivare ai livelli di performance e qualità della luce richiesti</w:t>
      </w:r>
      <w:r w:rsidR="00F5677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per le riprese televisive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Luce di qualità e massime performance per garantire un’ottima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visibilità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dello spettacolo e della competizione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ma anche capacità di creare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emozionalità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 intrattenimento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 </w:t>
      </w:r>
    </w:p>
    <w:p w14:paraId="00DC3128" w14:textId="77777777" w:rsidR="006936A8" w:rsidRPr="006936A8" w:rsidRDefault="006936A8" w:rsidP="006936A8"/>
    <w:p w14:paraId="7091E7B7" w14:textId="04522C75" w:rsidR="006936A8" w:rsidRPr="006936A8" w:rsidRDefault="006936A8" w:rsidP="006936A8">
      <w:pPr>
        <w:outlineLvl w:val="2"/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Street </w:t>
      </w:r>
      <w:r w:rsidR="00407DAB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&amp; Urban </w:t>
      </w:r>
      <w: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- </w:t>
      </w:r>
      <w:r w:rsidRPr="006936A8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Smart city e sostenibilità urbana</w:t>
      </w:r>
    </w:p>
    <w:p w14:paraId="4A27169B" w14:textId="47007B25" w:rsidR="004C20B1" w:rsidRDefault="006936A8" w:rsidP="006936A8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Questo spazio racconta l’evoluzione dell’illuminazione urbana verso modelli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di illuminazione adattiva, </w:t>
      </w:r>
      <w:r w:rsidR="00CE11C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smart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city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e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connettività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. La luce risponde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alle esigenze delle persone e della città, si adatta in base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alla presenza e al movimento delle persone,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migliora la</w:t>
      </w:r>
      <w:r w:rsidR="00407DAB"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sicurezza,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il 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comfort e 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l’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efficienza energetica</w:t>
      </w:r>
      <w:r w:rsidR="00407D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</w:t>
      </w:r>
      <w:r w:rsidRPr="006936A8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configurandosi come infrastruttura intelligente capace di rendere le città più sostenibili e vivibili.</w:t>
      </w:r>
      <w:r w:rsidR="002E63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2E63AB" w:rsidRPr="002E63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Il percorso è arricchito da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soluzioni sia di apparecchi per illuminazione stradale, che per illuminazione di piste ciclabili e pedonali. </w:t>
      </w:r>
      <w:r w:rsidR="002E63AB" w:rsidRPr="002E63A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In questo contesto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troviamo le ultime novità di</w:t>
      </w:r>
      <w:r w:rsidR="009F5E89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F4E24" w:rsidRPr="001A3077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PERFORMANCE </w:t>
      </w:r>
      <w:proofErr w:type="spellStart"/>
      <w:r w:rsidR="00AF4E24" w:rsidRPr="001A3077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iN</w:t>
      </w:r>
      <w:proofErr w:type="spellEnd"/>
      <w:r w:rsidR="00AF4E24" w:rsidRPr="001A3077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LIGHTING</w:t>
      </w:r>
      <w:r w:rsidR="004C20B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:</w:t>
      </w:r>
    </w:p>
    <w:p w14:paraId="7F6B3AA5" w14:textId="77777777" w:rsidR="00174702" w:rsidRDefault="00174702" w:rsidP="006936A8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36D41209" w14:textId="6910BCF7" w:rsidR="00AF4E24" w:rsidRPr="004C20B1" w:rsidRDefault="00AF4E24" w:rsidP="00AF4E24">
      <w:pPr>
        <w:pStyle w:val="Paragrafoelenco"/>
        <w:numPr>
          <w:ilvl w:val="0"/>
          <w:numId w:val="1"/>
        </w:numPr>
        <w:spacing w:after="0" w:line="240" w:lineRule="auto"/>
        <w:ind w:left="777" w:hanging="357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4C20B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lastRenderedPageBreak/>
        <w:t>A</w:t>
      </w:r>
      <w:r w:rsidR="0017470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LTHEA</w:t>
      </w:r>
      <w:r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:</w:t>
      </w:r>
      <w:r w:rsidRPr="004C20B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la nuova famigli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a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di armature stradali</w:t>
      </w:r>
      <w:r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pensata per rispondere a tutte le esigenze grazie all’approccio modulare che con tre taglie e componenti scalabili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riesce ad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offrire sempre</w:t>
      </w:r>
      <w:r w:rsidRPr="00AF4E24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un’illuminazione precisa, 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efficiente </w:t>
      </w:r>
      <w:r w:rsidRPr="00AF4E24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e sostenibile, con controllo intelligente 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della luce</w:t>
      </w:r>
      <w:r w:rsidRPr="004C20B1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.</w:t>
      </w:r>
    </w:p>
    <w:p w14:paraId="28735643" w14:textId="09A77F03" w:rsidR="006936A8" w:rsidRPr="004C20B1" w:rsidRDefault="002E63AB" w:rsidP="004C20B1">
      <w:pPr>
        <w:pStyle w:val="Paragrafoelenco"/>
        <w:numPr>
          <w:ilvl w:val="0"/>
          <w:numId w:val="1"/>
        </w:numPr>
        <w:spacing w:after="0" w:line="240" w:lineRule="auto"/>
        <w:ind w:left="777" w:hanging="357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4C20B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</w:t>
      </w:r>
      <w:r w:rsidR="009F5E89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YRA</w:t>
      </w:r>
      <w:r w:rsidRPr="004C20B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+</w:t>
      </w:r>
      <w:r w:rsidR="00AF4E24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: </w:t>
      </w:r>
      <w:r w:rsidR="009F5E89" w:rsidRPr="009F5E8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apparecchio </w:t>
      </w:r>
      <w:proofErr w:type="spellStart"/>
      <w:r w:rsidR="009F5E89" w:rsidRPr="009F5E8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testapalo</w:t>
      </w:r>
      <w:proofErr w:type="spellEnd"/>
      <w:r w:rsidR="009F5E89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AF4E24"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che vede l’evoluzione della famiglia già esistente ma totalmente rinnovata</w:t>
      </w:r>
      <w:r w:rsidR="009F5E8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,</w:t>
      </w:r>
      <w:r w:rsidR="004803D6" w:rsidRPr="004C20B1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4803D6" w:rsidRPr="004C20B1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in una versione che </w:t>
      </w:r>
      <w:r w:rsidRPr="004C20B1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fornisce un’illuminazione efficiente, confortevole e versatile, nel pieno rispetto delle normative sull’inquinamento luminoso </w:t>
      </w:r>
    </w:p>
    <w:p w14:paraId="006DB2AC" w14:textId="77777777" w:rsidR="00174702" w:rsidRDefault="00174702" w:rsidP="00AF4E24">
      <w:pPr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</w:pPr>
    </w:p>
    <w:p w14:paraId="368E047C" w14:textId="4D84535C" w:rsidR="00AF4E24" w:rsidRDefault="004C20B1" w:rsidP="00AF4E24">
      <w:pPr>
        <w:rPr>
          <w:rFonts w:ascii="Helvetica" w:hAnsi="Helvetica" w:cs="Arial"/>
          <w:kern w:val="2"/>
          <w:sz w:val="22"/>
          <w:szCs w:val="22"/>
          <w14:ligatures w14:val="standardContextual"/>
        </w:rPr>
      </w:pPr>
      <w:r w:rsidRPr="009A6790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TVLIGHT</w:t>
      </w:r>
    </w:p>
    <w:p w14:paraId="746E9C79" w14:textId="46B71F2C" w:rsidR="00B33E43" w:rsidRPr="009A6790" w:rsidRDefault="004C20B1" w:rsidP="009A6790">
      <w:pPr>
        <w:pStyle w:val="Paragrafoelenco"/>
        <w:numPr>
          <w:ilvl w:val="0"/>
          <w:numId w:val="3"/>
        </w:numP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9A6790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City Cabinet</w:t>
      </w:r>
      <w:r w:rsidR="00AF4E24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: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AF4E24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la </w:t>
      </w:r>
      <w:r w:rsidRPr="009A6790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soluzione all’avanguardia per la gestione dell’illuminazione esterna, che offre controllo di gruppo, controllo individuale e controllo diretto DALI.</w:t>
      </w:r>
      <w:r w:rsidR="00AF4E24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Una vera rivoluzione per il mondo della connettività</w:t>
      </w:r>
    </w:p>
    <w:p w14:paraId="7DDB9D2C" w14:textId="687ED7C9" w:rsidR="002D7ACF" w:rsidRPr="00174702" w:rsidRDefault="002D7ACF" w:rsidP="00174702">
      <w:pPr>
        <w:pStyle w:val="NormaleWeb"/>
        <w:rPr>
          <w:color w:val="000000"/>
        </w:rPr>
      </w:pP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All’interno dell’HUB espositivo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viene </w:t>
      </w: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presentat</w:t>
      </w:r>
      <w:r w:rsidR="009F5E89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a</w:t>
      </w: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anche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la nuova piattaforma di connettività di GEWISS </w:t>
      </w:r>
      <w:proofErr w:type="spellStart"/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,</w:t>
      </w:r>
      <w:r w:rsidRPr="002D7ACF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 KIN</w:t>
      </w: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2D7ACF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Connected</w:t>
      </w:r>
      <w:proofErr w:type="spellEnd"/>
      <w:r w:rsidRPr="002D7ACF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9F5E89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Lighting </w:t>
      </w:r>
      <w:r w:rsidR="00AF4E24" w:rsidRPr="009F5E89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Solutions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che integra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soluzioni di gestione e controllo della luce</w:t>
      </w:r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in un’unica infrastruttura intelligente, modulare e scalabile, progettata per la gestione evoluta della luce, l’ottimizzazione energetica e l’integrazione con i sistemi di building </w:t>
      </w:r>
      <w:proofErr w:type="spellStart"/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automation</w:t>
      </w:r>
      <w:proofErr w:type="spellEnd"/>
      <w:r w:rsidRPr="002D7ACF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</w:t>
      </w:r>
      <w:r w:rsidR="008C787F">
        <w:rPr>
          <w:color w:val="000000"/>
        </w:rPr>
        <w:t xml:space="preserve"> </w:t>
      </w:r>
    </w:p>
    <w:p w14:paraId="63DB71CE" w14:textId="521D91CF" w:rsidR="003C2815" w:rsidRDefault="00B33E43" w:rsidP="00AE336B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Con </w:t>
      </w:r>
      <w:r w:rsidR="00CF17E3" w:rsidRPr="00B33E43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G</w:t>
      </w:r>
      <w:r w:rsidR="00CF17E3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EWISS</w:t>
      </w:r>
      <w:r w:rsidR="00CF17E3" w:rsidRPr="00B33E43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B33E43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il gruppo</w:t>
      </w:r>
      <w:r w:rsidR="00CF17E3"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rafforza il proprio posizionamento nel </w:t>
      </w:r>
      <w:r w:rsidR="00AF4E24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settore dell’illuminazione</w:t>
      </w:r>
      <w:r w:rsidR="00AF4E24"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33E4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professionale attraverso un polo internazionale che integra competenze, tecnologie e brand complementari, proponendosi come </w:t>
      </w:r>
      <w:r w:rsidR="00AE336B" w:rsidRP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partner strategico</w:t>
      </w:r>
      <w:r w:rsid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E336B" w:rsidRP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capace di supportare progettisti, installatori, distributori e clienti finali lungo l’intero</w:t>
      </w:r>
      <w:r w:rsid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E336B" w:rsidRP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ciclo di vita del progetto con soluzioni complete, innovative e connesse.</w:t>
      </w:r>
      <w:r w:rsidR="00AE336B" w:rsidRPr="00AE336B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br/>
      </w:r>
    </w:p>
    <w:p w14:paraId="7662CB53" w14:textId="77777777" w:rsidR="000964E4" w:rsidRDefault="000964E4" w:rsidP="00DB3473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</w:p>
    <w:p w14:paraId="785C1E36" w14:textId="15EB13C9" w:rsidR="000964E4" w:rsidRPr="000964E4" w:rsidRDefault="000964E4" w:rsidP="000964E4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GEWISS, INNOVAZIONE DAL 1970</w:t>
      </w:r>
    </w:p>
    <w:p w14:paraId="010003D1" w14:textId="77777777" w:rsidR="000964E4" w:rsidRDefault="000964E4" w:rsidP="000964E4">
      <w:pPr>
        <w:pStyle w:val="ComunicatoEXPOTesto"/>
        <w:spacing w:before="60"/>
        <w:jc w:val="both"/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</w:pPr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GEWISS è un player di riferimento nel mercato della home &amp; building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automation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, dei sistemi di protezione e distribuzione dell’energia, dell’illuminazione intelligente e della mobilità elettrica. Fondata oltre cinquant’anni fa e guidata dai valori di integrità, eccellenza e sostenibilità, GEWISS ha fatto dello sviluppo e della ricerca della qualità i principi guida di ogni sua azione e decisione. Con l’acquisizione di Performance IN Lighting (leader nel settore illuminotecnico internazionale), Pulsar Engineering (pioniere nell’automazione per l’edilizia),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Tvilight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(brand affermato nell’illuminazione intelligente),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Elmet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(energy service company a vocazione globale) e Beghelli (storico marchio italiano specializzato in illuminazione d’emergenza e soluzioni per la sicurezza), il Gruppo GEWISS conta oggi oltre 3.200 dipendenti e filiali commerciali e siti produttivi in 50 Paesi, garantendo una presenza in oltre 100 mercati nel mondo.</w:t>
      </w:r>
    </w:p>
    <w:p w14:paraId="25E8F0F3" w14:textId="12F47CFA" w:rsidR="007D204D" w:rsidRPr="007D204D" w:rsidRDefault="007D204D" w:rsidP="007D204D">
      <w:pPr>
        <w:jc w:val="both"/>
        <w:rPr>
          <w:rStyle w:val="Collegamentoipertestuale"/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7" w:history="1">
        <w:r w:rsidRPr="00A173BC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www.gewiss.com</w:t>
        </w:r>
      </w:hyperlink>
    </w:p>
    <w:p w14:paraId="693A304E" w14:textId="77777777" w:rsidR="000964E4" w:rsidRDefault="000964E4" w:rsidP="00A011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</w:p>
    <w:p w14:paraId="7BE31F03" w14:textId="1348C1A9" w:rsidR="00A0116A" w:rsidRPr="00A0116A" w:rsidRDefault="00A0116A" w:rsidP="00A011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BEGHELLI</w:t>
      </w:r>
    </w:p>
    <w:p w14:paraId="320E0E44" w14:textId="59A69A40" w:rsidR="006226AE" w:rsidRDefault="00A0116A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Fondata nel 1982, Beghelli è leader italiano nel settore dell'illuminazione di emergenza. L’azienda, inoltre, progetta, produce e distribuisce apparecchi per l'illuminazione tecnico-professionale, impianti di smart lighting, sistemi fotovoltaici, dispositivi per la smart-home e la sicurezza delle persone e della casa. Beghelli conta oggi 932 dipendenti e comprende realtà industriali operanti nel campo della ricerca, della produzione, dei servizi e della commercializzazione in Europa, Estremo Oriente e Nord America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, con </w:t>
      </w: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una presenza commerciale in oltre 140 paesi del mondo. Nel 2025 Beghelli entra a far parte del Gruppo Gewiss, riferimento nel mercato internazionale per le soluzioni e i servizi di home &amp; building </w:t>
      </w:r>
      <w:proofErr w:type="spellStart"/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automation</w:t>
      </w:r>
      <w:proofErr w:type="spellEnd"/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, protezione e distribuzione dell’energia, mobilità elettrica e illuminazione intelligente. Si </w:t>
      </w:r>
      <w:r w:rsidR="000607E5"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unisce così al gruppo con cui</w:t>
      </w:r>
      <w:r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condivid</w:t>
      </w:r>
      <w:r w:rsidR="000607E5"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e</w:t>
      </w:r>
      <w:r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sia il </w:t>
      </w: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continuo impegno verso l'innovazione e l'investimento in soluzioni all'avanguardia, sia i valori di integrità, eccellenza e sostenibilità, valorizzando il know-how di entramb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>i.</w:t>
      </w:r>
    </w:p>
    <w:p w14:paraId="04EE76FF" w14:textId="281D0A53" w:rsidR="00A0116A" w:rsidRPr="0072649E" w:rsidRDefault="00A0116A" w:rsidP="00FA0655">
      <w:pPr>
        <w:jc w:val="both"/>
        <w:rPr>
          <w:lang w:val="nl-NL"/>
        </w:rPr>
      </w:pPr>
      <w:hyperlink r:id="rId8" w:history="1">
        <w:r w:rsidRPr="0072649E">
          <w:rPr>
            <w:rStyle w:val="Collegamentoipertestuale"/>
            <w:rFonts w:ascii="Helvetica" w:hAnsi="Helvetica" w:cs="Arial"/>
            <w:kern w:val="2"/>
            <w:sz w:val="16"/>
            <w:szCs w:val="16"/>
            <w:lang w:val="nl-NL"/>
            <w14:ligatures w14:val="standardContextual"/>
          </w:rPr>
          <w:t>www.beghelli.it</w:t>
        </w:r>
      </w:hyperlink>
    </w:p>
    <w:p w14:paraId="10296D6A" w14:textId="77777777" w:rsidR="00FD367B" w:rsidRPr="0072649E" w:rsidRDefault="00FD367B" w:rsidP="00FD367B">
      <w:pPr>
        <w:jc w:val="both"/>
        <w:rPr>
          <w:rFonts w:ascii="Helvetica" w:hAnsi="Helvetica" w:cs="Arial"/>
          <w:i/>
          <w:iCs/>
          <w:kern w:val="2"/>
          <w:sz w:val="22"/>
          <w:szCs w:val="22"/>
          <w:lang w:val="nl-NL"/>
          <w14:ligatures w14:val="standardContextual"/>
        </w:rPr>
      </w:pPr>
    </w:p>
    <w:p w14:paraId="6363C628" w14:textId="77777777" w:rsidR="00FD367B" w:rsidRPr="0072649E" w:rsidRDefault="00FD367B" w:rsidP="00FD367B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:lang w:val="nl-NL"/>
          <w14:ligatures w14:val="standardContextual"/>
        </w:rPr>
      </w:pPr>
      <w:r w:rsidRPr="0072649E">
        <w:rPr>
          <w:rFonts w:ascii="Helvetica" w:hAnsi="Helvetica" w:cs="Arial"/>
          <w:b/>
          <w:bCs/>
          <w:kern w:val="2"/>
          <w:sz w:val="16"/>
          <w:szCs w:val="16"/>
          <w:lang w:val="nl-NL"/>
          <w14:ligatures w14:val="standardContextual"/>
        </w:rPr>
        <w:t xml:space="preserve">PERFORMANCE </w:t>
      </w:r>
      <w:proofErr w:type="spellStart"/>
      <w:r w:rsidRPr="0072649E">
        <w:rPr>
          <w:rFonts w:ascii="Helvetica" w:hAnsi="Helvetica" w:cs="Arial"/>
          <w:b/>
          <w:bCs/>
          <w:kern w:val="2"/>
          <w:sz w:val="16"/>
          <w:szCs w:val="16"/>
          <w:lang w:val="nl-NL"/>
          <w14:ligatures w14:val="standardContextual"/>
        </w:rPr>
        <w:t>iN</w:t>
      </w:r>
      <w:proofErr w:type="spellEnd"/>
      <w:r w:rsidRPr="0072649E">
        <w:rPr>
          <w:rFonts w:ascii="Helvetica" w:hAnsi="Helvetica" w:cs="Arial"/>
          <w:b/>
          <w:bCs/>
          <w:kern w:val="2"/>
          <w:sz w:val="16"/>
          <w:szCs w:val="16"/>
          <w:lang w:val="nl-NL"/>
          <w14:ligatures w14:val="standardContextual"/>
        </w:rPr>
        <w:t xml:space="preserve"> LIGHTING</w:t>
      </w:r>
    </w:p>
    <w:p w14:paraId="05B5CFF7" w14:textId="4ED9069F" w:rsidR="00FD367B" w:rsidRDefault="00FD367B" w:rsidP="00FD367B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Da oltre 40 anni,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lavora nel campo dell'illuminazione professionale per creare spazi confortevoli e offrire soluzioni perfettamente integrate in diversi ambienti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. Nel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2023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entra a far parte del gruppo GEWISS, riferimento nel mercato internazionale per le soluzioni e i servizi di home &amp; building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automation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, protezione e distribuzione dell'energia, mobilità elettrica e illuminazione intelligente.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Questo progetto 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ha consentito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di ampliare ulteriormente le reciproche competenze, confermando il percorso di crescita intrapreso da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ll’azienda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nel 2017 con la raccolta di tutti i prodotti, PRISMA, SBP e SPITTLER, sotto un unico marchio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>.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>Una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scelta 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che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conferma la volontà di affrontare sempre nuove sfide, offrendo soluzioni innovative, tecnologiche ed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lastRenderedPageBreak/>
        <w:t xml:space="preserve">affidabili, per rispondere in modo sempre più completo alle esigenze dei clienti. I prodotti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hanno infatti sempre abbinato estetica e design con le performance, caratterizzando la storia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Pr="00B05D40">
        <w:rPr>
          <w:rFonts w:ascii="Helvetica" w:hAnsi="Helvetica" w:cs="Arial"/>
          <w:kern w:val="2"/>
          <w:sz w:val="16"/>
          <w:szCs w:val="16"/>
          <w14:ligatures w14:val="standardContextual"/>
        </w:rPr>
        <w:t>dell’illuminazione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>.</w:t>
      </w:r>
    </w:p>
    <w:p w14:paraId="30DDD4BD" w14:textId="5235A443" w:rsidR="00FD367B" w:rsidRPr="00040CCF" w:rsidRDefault="00FD367B" w:rsidP="00040CCF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9" w:history="1">
        <w:r w:rsidRPr="00A0116A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www.performanceinlighting.com</w:t>
        </w:r>
      </w:hyperlink>
    </w:p>
    <w:p w14:paraId="3535D44A" w14:textId="77777777" w:rsidR="003C2815" w:rsidRPr="00A0116A" w:rsidRDefault="003C2815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p w14:paraId="2ABCC11C" w14:textId="5AC5E726" w:rsidR="00E51B4D" w:rsidRPr="00E51B4D" w:rsidRDefault="00E51B4D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TVILIGHT</w:t>
      </w:r>
    </w:p>
    <w:p w14:paraId="5C5310D1" w14:textId="52AD0214" w:rsidR="00E51B4D" w:rsidRDefault="00E51B4D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Con soluzioni implementate in oltre 1.000 città in più di 35 Paesi in tutto il mondo, TVILIGHT è un leader di mercato europeo nelle soluzioni di illuminazione stradale intelligente. </w:t>
      </w:r>
      <w:r w:rsidR="00040CCF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Entrata a far parte del Gruppo Gewiss nel 2024, l’azienda ha </w:t>
      </w: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sede centrale nei Paesi Bassi e uffici a Groningen, Amsterdam e Ahmedabad (India), </w:t>
      </w:r>
      <w:r w:rsidR="00040CCF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ed è</w:t>
      </w:r>
      <w:r w:rsidR="000607E5"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</w:t>
      </w:r>
      <w:r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specializzat</w:t>
      </w:r>
      <w:r w:rsidR="000607E5"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a</w:t>
      </w:r>
      <w:r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in sensori di movimento per l’illuminazione stradale, controller </w:t>
      </w: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>per apparecchi di illuminazione per esterni e software di gestione centralizzata (CMS).</w:t>
      </w:r>
    </w:p>
    <w:p w14:paraId="7ADC26AF" w14:textId="1907C44C" w:rsidR="00A0116A" w:rsidRPr="00E51B4D" w:rsidRDefault="00A0116A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10" w:history="1">
        <w:r w:rsidRPr="00A0116A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www.tvilight.com</w:t>
        </w:r>
      </w:hyperlink>
    </w:p>
    <w:p w14:paraId="56A6DF0B" w14:textId="77777777" w:rsidR="00A6496A" w:rsidRDefault="00A6496A" w:rsidP="00FA0655">
      <w:pPr>
        <w:jc w:val="both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00781235" w14:textId="77777777" w:rsidR="000964E4" w:rsidRDefault="000964E4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8"/>
          <w:szCs w:val="18"/>
          <w14:ligatures w14:val="standardContextual"/>
        </w:rPr>
      </w:pPr>
    </w:p>
    <w:p w14:paraId="7273FA68" w14:textId="77777777" w:rsidR="000964E4" w:rsidRDefault="000964E4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8"/>
          <w:szCs w:val="18"/>
          <w14:ligatures w14:val="standardContextual"/>
        </w:rPr>
      </w:pPr>
    </w:p>
    <w:p w14:paraId="41EA273B" w14:textId="195F2750" w:rsidR="00A6496A" w:rsidRPr="000964E4" w:rsidRDefault="00A6496A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Ufficio stampa</w:t>
      </w:r>
    </w:p>
    <w:p w14:paraId="616A57E7" w14:textId="77777777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SEC </w:t>
      </w:r>
      <w:proofErr w:type="spellStart"/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Newgate</w:t>
      </w:r>
      <w:proofErr w:type="spellEnd"/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Italia S.r.l. Società Benefit</w:t>
      </w:r>
    </w:p>
    <w:p w14:paraId="47BB1F6B" w14:textId="77777777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via Ferrante Aporti 8</w:t>
      </w:r>
    </w:p>
    <w:p w14:paraId="45CCAED0" w14:textId="75C149D2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20125 Milano - tel. +39 02 6249991</w:t>
      </w:r>
    </w:p>
    <w:p w14:paraId="1EC31BA9" w14:textId="0896126A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Paola Lazzarotto – </w:t>
      </w:r>
      <w:hyperlink r:id="rId11" w:history="1">
        <w:r w:rsidRPr="000964E4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paola.lazzarotto@secnewgate.it</w:t>
        </w:r>
      </w:hyperlink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mob. +39 335 1937614</w:t>
      </w:r>
    </w:p>
    <w:p w14:paraId="212EE49B" w14:textId="53E6E0EF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Vania Brogi – </w:t>
      </w:r>
      <w:hyperlink r:id="rId12" w:history="1">
        <w:r w:rsidRPr="000964E4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vania.brogi@secnewgate.it</w:t>
        </w:r>
      </w:hyperlink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mob. +39 338 1367220</w:t>
      </w:r>
    </w:p>
    <w:p w14:paraId="17432C09" w14:textId="1F04E381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p w14:paraId="0F6E6272" w14:textId="38E918D4" w:rsidR="00A6496A" w:rsidRPr="000964E4" w:rsidRDefault="00A6496A" w:rsidP="00A6496A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sectPr w:rsidR="00A6496A" w:rsidRPr="000964E4" w:rsidSect="009A6790">
      <w:headerReference w:type="default" r:id="rId13"/>
      <w:footerReference w:type="default" r:id="rId14"/>
      <w:pgSz w:w="11900" w:h="16840"/>
      <w:pgMar w:top="20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92B9" w14:textId="77777777" w:rsidR="00293BB9" w:rsidRDefault="00293BB9" w:rsidP="005329C0">
      <w:r>
        <w:separator/>
      </w:r>
    </w:p>
  </w:endnote>
  <w:endnote w:type="continuationSeparator" w:id="0">
    <w:p w14:paraId="7B08EAAF" w14:textId="77777777" w:rsidR="00293BB9" w:rsidRDefault="00293BB9" w:rsidP="0053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F30E" w14:textId="31B447E5" w:rsidR="000575E5" w:rsidRPr="000575E5" w:rsidRDefault="000575E5" w:rsidP="001D4A4A">
    <w:pPr>
      <w:pStyle w:val="Pidipagina"/>
      <w:jc w:val="center"/>
    </w:pPr>
    <w:r>
      <w:rPr>
        <w:noProof/>
      </w:rPr>
      <w:drawing>
        <wp:inline distT="0" distB="0" distL="0" distR="0" wp14:anchorId="6F2BA49E" wp14:editId="785730D0">
          <wp:extent cx="4718215" cy="851535"/>
          <wp:effectExtent l="0" t="0" r="6350" b="0"/>
          <wp:docPr id="539097307" name="Immagine 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8419385" name="Immagine 1" descr="Immagine che contiene testo, Carattere&#10;&#10;Il contenuto generato dall'IA potrebbe non essere corret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859"/>
                  <a:stretch>
                    <a:fillRect/>
                  </a:stretch>
                </pic:blipFill>
                <pic:spPr bwMode="auto">
                  <a:xfrm>
                    <a:off x="0" y="0"/>
                    <a:ext cx="4718215" cy="8515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BF71" w14:textId="77777777" w:rsidR="00293BB9" w:rsidRDefault="00293BB9" w:rsidP="005329C0">
      <w:r>
        <w:separator/>
      </w:r>
    </w:p>
  </w:footnote>
  <w:footnote w:type="continuationSeparator" w:id="0">
    <w:p w14:paraId="02B8F6D5" w14:textId="77777777" w:rsidR="00293BB9" w:rsidRDefault="00293BB9" w:rsidP="0053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9DD6" w14:textId="3543576B" w:rsidR="005329C0" w:rsidRDefault="000575E5">
    <w:pPr>
      <w:pStyle w:val="Intestazione"/>
    </w:pPr>
    <w:r>
      <w:rPr>
        <w:noProof/>
      </w:rPr>
      <w:drawing>
        <wp:inline distT="0" distB="0" distL="0" distR="0" wp14:anchorId="6E8611DE" wp14:editId="286868B6">
          <wp:extent cx="2849218" cy="301132"/>
          <wp:effectExtent l="0" t="0" r="0" b="3810"/>
          <wp:docPr id="137899731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997312" name="Immagine 1378997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4972" cy="360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7878"/>
    <w:multiLevelType w:val="hybridMultilevel"/>
    <w:tmpl w:val="DAE621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63A96"/>
    <w:multiLevelType w:val="hybridMultilevel"/>
    <w:tmpl w:val="A15A7414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35C21301"/>
    <w:multiLevelType w:val="hybridMultilevel"/>
    <w:tmpl w:val="61185110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486508223">
    <w:abstractNumId w:val="1"/>
  </w:num>
  <w:num w:numId="2" w16cid:durableId="1230653392">
    <w:abstractNumId w:val="2"/>
  </w:num>
  <w:num w:numId="3" w16cid:durableId="1615163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3D"/>
    <w:rsid w:val="0000357F"/>
    <w:rsid w:val="000213C4"/>
    <w:rsid w:val="00040CCF"/>
    <w:rsid w:val="00041AD4"/>
    <w:rsid w:val="000575E5"/>
    <w:rsid w:val="000607E5"/>
    <w:rsid w:val="000730F7"/>
    <w:rsid w:val="00073859"/>
    <w:rsid w:val="000867B0"/>
    <w:rsid w:val="000964E4"/>
    <w:rsid w:val="000A4ED3"/>
    <w:rsid w:val="000E264E"/>
    <w:rsid w:val="000E6C1B"/>
    <w:rsid w:val="000F6828"/>
    <w:rsid w:val="00131C14"/>
    <w:rsid w:val="00137D9D"/>
    <w:rsid w:val="00151158"/>
    <w:rsid w:val="001518BD"/>
    <w:rsid w:val="001564FB"/>
    <w:rsid w:val="00162199"/>
    <w:rsid w:val="00174702"/>
    <w:rsid w:val="00175273"/>
    <w:rsid w:val="00186223"/>
    <w:rsid w:val="001A3077"/>
    <w:rsid w:val="001D34D5"/>
    <w:rsid w:val="001D4A4A"/>
    <w:rsid w:val="001E1FE9"/>
    <w:rsid w:val="002026FB"/>
    <w:rsid w:val="00224566"/>
    <w:rsid w:val="00225EFC"/>
    <w:rsid w:val="00231B99"/>
    <w:rsid w:val="0024473C"/>
    <w:rsid w:val="00293BB9"/>
    <w:rsid w:val="00297185"/>
    <w:rsid w:val="002D7ACF"/>
    <w:rsid w:val="002E63AB"/>
    <w:rsid w:val="002F4C94"/>
    <w:rsid w:val="00312688"/>
    <w:rsid w:val="00313149"/>
    <w:rsid w:val="00340BA1"/>
    <w:rsid w:val="00350DC3"/>
    <w:rsid w:val="00391A7B"/>
    <w:rsid w:val="003C2815"/>
    <w:rsid w:val="003C5704"/>
    <w:rsid w:val="003D4B70"/>
    <w:rsid w:val="003E7D0B"/>
    <w:rsid w:val="003F0A57"/>
    <w:rsid w:val="00407DAB"/>
    <w:rsid w:val="004105B2"/>
    <w:rsid w:val="004116CF"/>
    <w:rsid w:val="00420EEA"/>
    <w:rsid w:val="0047116A"/>
    <w:rsid w:val="004803D6"/>
    <w:rsid w:val="00483C30"/>
    <w:rsid w:val="00497844"/>
    <w:rsid w:val="004C20B1"/>
    <w:rsid w:val="004F76F4"/>
    <w:rsid w:val="0052291E"/>
    <w:rsid w:val="0052494A"/>
    <w:rsid w:val="00530D80"/>
    <w:rsid w:val="005329C0"/>
    <w:rsid w:val="0054517C"/>
    <w:rsid w:val="0054664F"/>
    <w:rsid w:val="00553904"/>
    <w:rsid w:val="00586E5E"/>
    <w:rsid w:val="0059537C"/>
    <w:rsid w:val="005B5687"/>
    <w:rsid w:val="005D2F5E"/>
    <w:rsid w:val="005D686A"/>
    <w:rsid w:val="005D6BB7"/>
    <w:rsid w:val="006226AE"/>
    <w:rsid w:val="006338F1"/>
    <w:rsid w:val="00635B3B"/>
    <w:rsid w:val="00646B8A"/>
    <w:rsid w:val="00667EA4"/>
    <w:rsid w:val="00670F57"/>
    <w:rsid w:val="006936A8"/>
    <w:rsid w:val="006A0CB6"/>
    <w:rsid w:val="006A15A6"/>
    <w:rsid w:val="006C3D0D"/>
    <w:rsid w:val="006D5B64"/>
    <w:rsid w:val="006E673D"/>
    <w:rsid w:val="006F6333"/>
    <w:rsid w:val="00703C3D"/>
    <w:rsid w:val="0071681F"/>
    <w:rsid w:val="0072534D"/>
    <w:rsid w:val="0072649E"/>
    <w:rsid w:val="0072750F"/>
    <w:rsid w:val="00731F69"/>
    <w:rsid w:val="00733B9D"/>
    <w:rsid w:val="0075222E"/>
    <w:rsid w:val="0076043B"/>
    <w:rsid w:val="0076248C"/>
    <w:rsid w:val="00791608"/>
    <w:rsid w:val="007A0603"/>
    <w:rsid w:val="007B2013"/>
    <w:rsid w:val="007B29CD"/>
    <w:rsid w:val="007B2F65"/>
    <w:rsid w:val="007D204D"/>
    <w:rsid w:val="007D41D1"/>
    <w:rsid w:val="00802314"/>
    <w:rsid w:val="00813434"/>
    <w:rsid w:val="00821CAB"/>
    <w:rsid w:val="0082234E"/>
    <w:rsid w:val="00823819"/>
    <w:rsid w:val="0082509D"/>
    <w:rsid w:val="00892C8B"/>
    <w:rsid w:val="008A0842"/>
    <w:rsid w:val="008A7E7E"/>
    <w:rsid w:val="008C413D"/>
    <w:rsid w:val="008C787F"/>
    <w:rsid w:val="008D12E8"/>
    <w:rsid w:val="008D24D4"/>
    <w:rsid w:val="008D4009"/>
    <w:rsid w:val="008F0B15"/>
    <w:rsid w:val="0093148A"/>
    <w:rsid w:val="009334CD"/>
    <w:rsid w:val="00953ADC"/>
    <w:rsid w:val="009749C0"/>
    <w:rsid w:val="0098545E"/>
    <w:rsid w:val="009A6790"/>
    <w:rsid w:val="009C6B44"/>
    <w:rsid w:val="009D55C6"/>
    <w:rsid w:val="009F5E89"/>
    <w:rsid w:val="00A00354"/>
    <w:rsid w:val="00A0116A"/>
    <w:rsid w:val="00A06CCB"/>
    <w:rsid w:val="00A173BC"/>
    <w:rsid w:val="00A23A46"/>
    <w:rsid w:val="00A31776"/>
    <w:rsid w:val="00A32F32"/>
    <w:rsid w:val="00A51D68"/>
    <w:rsid w:val="00A52579"/>
    <w:rsid w:val="00A6496A"/>
    <w:rsid w:val="00AB4110"/>
    <w:rsid w:val="00AC1775"/>
    <w:rsid w:val="00AD31F4"/>
    <w:rsid w:val="00AE336B"/>
    <w:rsid w:val="00AE4B3B"/>
    <w:rsid w:val="00AF4E24"/>
    <w:rsid w:val="00B05D40"/>
    <w:rsid w:val="00B06C66"/>
    <w:rsid w:val="00B154B3"/>
    <w:rsid w:val="00B33E43"/>
    <w:rsid w:val="00B37D6A"/>
    <w:rsid w:val="00B911EA"/>
    <w:rsid w:val="00BE2F9D"/>
    <w:rsid w:val="00C031AC"/>
    <w:rsid w:val="00C1084F"/>
    <w:rsid w:val="00C166B2"/>
    <w:rsid w:val="00C16F75"/>
    <w:rsid w:val="00C32DEF"/>
    <w:rsid w:val="00C52ED1"/>
    <w:rsid w:val="00C70DCB"/>
    <w:rsid w:val="00C81BE4"/>
    <w:rsid w:val="00C83D37"/>
    <w:rsid w:val="00C92D2F"/>
    <w:rsid w:val="00C9351C"/>
    <w:rsid w:val="00C937AA"/>
    <w:rsid w:val="00C95E84"/>
    <w:rsid w:val="00CA7972"/>
    <w:rsid w:val="00CA7FED"/>
    <w:rsid w:val="00CB7B7A"/>
    <w:rsid w:val="00CE11CB"/>
    <w:rsid w:val="00CF17E3"/>
    <w:rsid w:val="00D06C49"/>
    <w:rsid w:val="00D104DA"/>
    <w:rsid w:val="00D16FF6"/>
    <w:rsid w:val="00D33DE0"/>
    <w:rsid w:val="00D4407D"/>
    <w:rsid w:val="00D5247F"/>
    <w:rsid w:val="00D77F30"/>
    <w:rsid w:val="00D83446"/>
    <w:rsid w:val="00D9360F"/>
    <w:rsid w:val="00DB3473"/>
    <w:rsid w:val="00DF514B"/>
    <w:rsid w:val="00E31AB8"/>
    <w:rsid w:val="00E51B4D"/>
    <w:rsid w:val="00E52415"/>
    <w:rsid w:val="00EB7E81"/>
    <w:rsid w:val="00ED3400"/>
    <w:rsid w:val="00ED63C0"/>
    <w:rsid w:val="00EE14FA"/>
    <w:rsid w:val="00EE20EB"/>
    <w:rsid w:val="00EF3434"/>
    <w:rsid w:val="00EF7A7F"/>
    <w:rsid w:val="00EF7C98"/>
    <w:rsid w:val="00F06E15"/>
    <w:rsid w:val="00F15ECC"/>
    <w:rsid w:val="00F54FE4"/>
    <w:rsid w:val="00F5677F"/>
    <w:rsid w:val="00F75DEB"/>
    <w:rsid w:val="00FA0655"/>
    <w:rsid w:val="00FD367B"/>
    <w:rsid w:val="00FD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CD535"/>
  <w15:chartTrackingRefBased/>
  <w15:docId w15:val="{3DB37B55-D54E-7044-8C2E-8CEA6E63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6223"/>
    <w:pPr>
      <w:pBdr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pBdr>
      <w:shd w:val="clear" w:color="auto" w:fill="FAE2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7F340D" w:themeColor="accent2" w:themeShade="7F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86223"/>
    <w:pPr>
      <w:pBdr>
        <w:top w:val="single" w:sz="4" w:space="0" w:color="E97132" w:themeColor="accent2"/>
        <w:left w:val="single" w:sz="48" w:space="2" w:color="E97132" w:themeColor="accent2"/>
        <w:bottom w:val="single" w:sz="4" w:space="0" w:color="E97132" w:themeColor="accent2"/>
        <w:right w:val="single" w:sz="4" w:space="4" w:color="E9713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86223"/>
    <w:pPr>
      <w:pBdr>
        <w:left w:val="single" w:sz="48" w:space="2" w:color="E97132" w:themeColor="accent2"/>
        <w:bottom w:val="single" w:sz="4" w:space="0" w:color="E9713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6223"/>
    <w:pPr>
      <w:pBdr>
        <w:left w:val="single" w:sz="4" w:space="2" w:color="E97132" w:themeColor="accent2"/>
        <w:bottom w:val="single" w:sz="4" w:space="2" w:color="E9713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6223"/>
    <w:pPr>
      <w:pBdr>
        <w:left w:val="dotted" w:sz="4" w:space="2" w:color="E97132" w:themeColor="accent2"/>
        <w:bottom w:val="dotted" w:sz="4" w:space="2" w:color="E9713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6223"/>
    <w:pPr>
      <w:pBdr>
        <w:bottom w:val="single" w:sz="4" w:space="2" w:color="F6C5AC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BF4E14" w:themeColor="accent2" w:themeShade="B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6223"/>
    <w:pPr>
      <w:pBdr>
        <w:bottom w:val="dotted" w:sz="4" w:space="2" w:color="F1A983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BF4E14" w:themeColor="accent2" w:themeShade="B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6223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E97132" w:themeColor="accent2"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6223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E97132" w:themeColor="accent2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6223"/>
    <w:rPr>
      <w:rFonts w:asciiTheme="majorHAnsi" w:eastAsiaTheme="majorEastAsia" w:hAnsiTheme="majorHAnsi" w:cstheme="majorBidi"/>
      <w:b/>
      <w:bCs/>
      <w:i/>
      <w:iCs/>
      <w:color w:val="7F340D" w:themeColor="accent2" w:themeShade="7F"/>
      <w:shd w:val="clear" w:color="auto" w:fill="FAE2D5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186223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BF4E14" w:themeColor="accent2" w:themeShade="BF"/>
      <w:sz w:val="18"/>
      <w:szCs w:val="18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6223"/>
    <w:pPr>
      <w:pBdr>
        <w:top w:val="single" w:sz="48" w:space="0" w:color="E97132" w:themeColor="accent2"/>
        <w:bottom w:val="single" w:sz="48" w:space="0" w:color="E97132" w:themeColor="accent2"/>
      </w:pBdr>
      <w:shd w:val="clear" w:color="auto" w:fill="E97132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1862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97132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6223"/>
    <w:pPr>
      <w:pBdr>
        <w:bottom w:val="dotted" w:sz="8" w:space="10" w:color="E97132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7F340D" w:themeColor="accent2" w:themeShade="7F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6223"/>
    <w:rPr>
      <w:rFonts w:asciiTheme="majorHAnsi" w:eastAsiaTheme="majorEastAsia" w:hAnsiTheme="majorHAnsi" w:cstheme="majorBidi"/>
      <w:i/>
      <w:iCs/>
      <w:color w:val="7F340D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186223"/>
    <w:rPr>
      <w:b/>
      <w:bCs/>
      <w:spacing w:val="0"/>
    </w:rPr>
  </w:style>
  <w:style w:type="character" w:styleId="Enfasicorsivo">
    <w:name w:val="Emphasis"/>
    <w:uiPriority w:val="20"/>
    <w:qFormat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bdr w:val="single" w:sz="18" w:space="0" w:color="FAE2D5" w:themeColor="accent2" w:themeTint="33"/>
      <w:shd w:val="clear" w:color="auto" w:fill="FAE2D5" w:themeFill="accent2" w:themeFillTint="33"/>
    </w:rPr>
  </w:style>
  <w:style w:type="paragraph" w:styleId="Nessunaspaziatura">
    <w:name w:val="No Spacing"/>
    <w:basedOn w:val="Normale"/>
    <w:uiPriority w:val="1"/>
    <w:qFormat/>
    <w:rsid w:val="00186223"/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Paragrafoelenco">
    <w:name w:val="List Paragraph"/>
    <w:basedOn w:val="Normale"/>
    <w:uiPriority w:val="34"/>
    <w:qFormat/>
    <w:rsid w:val="00186223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6223"/>
    <w:pPr>
      <w:spacing w:after="200" w:line="288" w:lineRule="auto"/>
    </w:pPr>
    <w:rPr>
      <w:rFonts w:asciiTheme="minorHAnsi" w:eastAsiaTheme="minorHAnsi" w:hAnsiTheme="minorHAnsi" w:cstheme="minorBidi"/>
      <w:color w:val="BF4E14" w:themeColor="accent2" w:themeShade="BF"/>
      <w:sz w:val="20"/>
      <w:szCs w:val="20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6223"/>
    <w:rPr>
      <w:color w:val="BF4E1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6223"/>
    <w:pPr>
      <w:pBdr>
        <w:top w:val="dotted" w:sz="8" w:space="10" w:color="E97132" w:themeColor="accent2"/>
        <w:bottom w:val="dotted" w:sz="8" w:space="10" w:color="E97132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</w:rPr>
  </w:style>
  <w:style w:type="character" w:styleId="Enfasidelicata">
    <w:name w:val="Subtle Emphasis"/>
    <w:uiPriority w:val="19"/>
    <w:qFormat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styleId="Enfasiintensa">
    <w:name w:val="Intense Emphasis"/>
    <w:uiPriority w:val="21"/>
    <w:qFormat/>
    <w:rsid w:val="001862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97132" w:themeColor="accent2"/>
      <w:shd w:val="clear" w:color="auto" w:fill="E97132" w:themeFill="accent2"/>
      <w:vertAlign w:val="baseline"/>
    </w:rPr>
  </w:style>
  <w:style w:type="character" w:styleId="Riferimentodelicato">
    <w:name w:val="Subtle Reference"/>
    <w:uiPriority w:val="31"/>
    <w:qFormat/>
    <w:rsid w:val="00186223"/>
    <w:rPr>
      <w:i/>
      <w:iCs/>
      <w:smallCaps/>
      <w:color w:val="E97132" w:themeColor="accent2"/>
      <w:u w:color="E97132" w:themeColor="accent2"/>
    </w:rPr>
  </w:style>
  <w:style w:type="character" w:styleId="Riferimentointenso">
    <w:name w:val="Intense Reference"/>
    <w:uiPriority w:val="32"/>
    <w:qFormat/>
    <w:rsid w:val="00186223"/>
    <w:rPr>
      <w:b/>
      <w:bCs/>
      <w:i/>
      <w:iCs/>
      <w:smallCaps/>
      <w:color w:val="E97132" w:themeColor="accent2"/>
      <w:u w:color="E97132" w:themeColor="accent2"/>
    </w:rPr>
  </w:style>
  <w:style w:type="character" w:styleId="Titolodellibro">
    <w:name w:val="Book Title"/>
    <w:uiPriority w:val="33"/>
    <w:qFormat/>
    <w:rsid w:val="00186223"/>
    <w:rPr>
      <w:rFonts w:asciiTheme="majorHAnsi" w:eastAsiaTheme="majorEastAsia" w:hAnsiTheme="majorHAnsi" w:cstheme="majorBidi"/>
      <w:b/>
      <w:bCs/>
      <w:i/>
      <w:iCs/>
      <w:smallCaps/>
      <w:color w:val="BF4E1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186223"/>
    <w:pPr>
      <w:outlineLvl w:val="9"/>
    </w:pPr>
  </w:style>
  <w:style w:type="paragraph" w:customStyle="1" w:styleId="ms-outlook-mobile-reference-message">
    <w:name w:val="ms-outlook-mobile-reference-message"/>
    <w:basedOn w:val="Normale"/>
    <w:rsid w:val="006E673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6E673D"/>
  </w:style>
  <w:style w:type="character" w:styleId="Collegamentoipertestuale">
    <w:name w:val="Hyperlink"/>
    <w:basedOn w:val="Carpredefinitoparagrafo"/>
    <w:unhideWhenUsed/>
    <w:rsid w:val="00A6496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6496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0116A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329C0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9C0"/>
    <w:rPr>
      <w:i/>
      <w:i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5329C0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9C0"/>
    <w:rPr>
      <w:i/>
      <w:iCs/>
      <w:sz w:val="20"/>
      <w:szCs w:val="20"/>
    </w:rPr>
  </w:style>
  <w:style w:type="paragraph" w:customStyle="1" w:styleId="ComunicatoEXPOTitolo">
    <w:name w:val="ComunicatoEXPO_Titolo"/>
    <w:basedOn w:val="Normale"/>
    <w:next w:val="Normale"/>
    <w:qFormat/>
    <w:rsid w:val="000964E4"/>
    <w:pPr>
      <w:spacing w:before="120"/>
    </w:pPr>
    <w:rPr>
      <w:rFonts w:ascii="Segoe UI Light" w:hAnsi="Segoe UI Light" w:cs="Segoe UI Semilight"/>
      <w:b/>
      <w:caps/>
      <w:color w:val="002443"/>
      <w:sz w:val="36"/>
      <w:szCs w:val="36"/>
    </w:rPr>
  </w:style>
  <w:style w:type="paragraph" w:customStyle="1" w:styleId="ComunicatoEXPOTesto">
    <w:name w:val="ComunicatoEXPO_Testo"/>
    <w:basedOn w:val="Normale"/>
    <w:qFormat/>
    <w:rsid w:val="000964E4"/>
    <w:pPr>
      <w:spacing w:before="120"/>
    </w:pPr>
    <w:rPr>
      <w:rFonts w:ascii="Segoe UI Light" w:hAnsi="Segoe UI Light" w:cs="Segoe UI Semilight"/>
      <w:noProof/>
      <w:color w:val="002443"/>
      <w:sz w:val="22"/>
      <w:szCs w:val="22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24566"/>
    <w:pPr>
      <w:spacing w:after="200" w:line="288" w:lineRule="auto"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DataCarattere">
    <w:name w:val="Data Carattere"/>
    <w:basedOn w:val="Carpredefinitoparagrafo"/>
    <w:link w:val="Data"/>
    <w:uiPriority w:val="99"/>
    <w:semiHidden/>
    <w:rsid w:val="00224566"/>
    <w:rPr>
      <w:i/>
      <w:i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6A0CB6"/>
    <w:pPr>
      <w:spacing w:before="100" w:beforeAutospacing="1" w:after="100" w:afterAutospacing="1"/>
    </w:pPr>
  </w:style>
  <w:style w:type="character" w:customStyle="1" w:styleId="whitespace-normal">
    <w:name w:val="whitespace-normal"/>
    <w:basedOn w:val="Carpredefinitoparagrafo"/>
    <w:rsid w:val="006A0CB6"/>
  </w:style>
  <w:style w:type="character" w:customStyle="1" w:styleId="relative">
    <w:name w:val="relative"/>
    <w:basedOn w:val="Carpredefinitoparagrafo"/>
    <w:rsid w:val="006936A8"/>
  </w:style>
  <w:style w:type="paragraph" w:customStyle="1" w:styleId="not-prose">
    <w:name w:val="not-prose"/>
    <w:basedOn w:val="Normale"/>
    <w:rsid w:val="006936A8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822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CE11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E11C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E11C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11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11C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ghelli.it/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gewiss.com/" TargetMode="External"/><Relationship Id="rId12" Type="http://schemas.openxmlformats.org/officeDocument/2006/relationships/hyperlink" Target="mailto:vania.brogi@secnewgate.it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ola.lazzarotto@secnewgate.i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vilight.com/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://www.performanceinlighting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AB29ABC3E10B4C8EEF91555D7970FD" ma:contentTypeVersion="10" ma:contentTypeDescription="Creare un nuovo documento." ma:contentTypeScope="" ma:versionID="62f86931866da342179e84f452e9149a">
  <xsd:schema xmlns:xsd="http://www.w3.org/2001/XMLSchema" xmlns:xs="http://www.w3.org/2001/XMLSchema" xmlns:p="http://schemas.microsoft.com/office/2006/metadata/properties" xmlns:ns2="eafa808d-ad0e-485f-b33d-edc9ff76c2b5" targetNamespace="http://schemas.microsoft.com/office/2006/metadata/properties" ma:root="true" ma:fieldsID="414fd4477227c5bf6c5fe3af02e36bf7" ns2:_="">
    <xsd:import namespace="eafa808d-ad0e-485f-b33d-edc9ff76c2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a808d-ad0e-485f-b33d-edc9ff76c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fa808d-ad0e-485f-b33d-edc9ff76c2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50B635-FCB9-45D5-B85D-34355BB78DF5}"/>
</file>

<file path=customXml/itemProps2.xml><?xml version="1.0" encoding="utf-8"?>
<ds:datastoreItem xmlns:ds="http://schemas.openxmlformats.org/officeDocument/2006/customXml" ds:itemID="{66484F70-8FD7-4EAC-BE3E-F3D9DDFE72C5}"/>
</file>

<file path=customXml/itemProps3.xml><?xml version="1.0" encoding="utf-8"?>
<ds:datastoreItem xmlns:ds="http://schemas.openxmlformats.org/officeDocument/2006/customXml" ds:itemID="{29F76868-E9CB-4B7D-82EE-2867A2D073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Lazzarotto</dc:creator>
  <cp:keywords/>
  <dc:description/>
  <cp:lastModifiedBy>Girgenti Silvia</cp:lastModifiedBy>
  <cp:revision>4</cp:revision>
  <cp:lastPrinted>2026-02-04T15:55:00Z</cp:lastPrinted>
  <dcterms:created xsi:type="dcterms:W3CDTF">2026-03-04T18:54:00Z</dcterms:created>
  <dcterms:modified xsi:type="dcterms:W3CDTF">2026-03-05T08:33:00Z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-1815477356</vt:i4>
  </property>
  <property fmtid="{D5CDD505-2E9C-101B-9397-08002B2CF9AE}" pid="3" name="_NewReviewCycle">
    <vt:lpwstr/>
  </property>
  <property fmtid="{D5CDD505-2E9C-101B-9397-08002B2CF9AE}" pid="4" name="_EmailSubject">
    <vt:lpwstr>CS hub urbano-vertical</vt:lpwstr>
  </property>
  <property fmtid="{D5CDD505-2E9C-101B-9397-08002B2CF9AE}" pid="5" name="_AuthorEmail">
    <vt:lpwstr>c.tagliapietra@pil.lighting</vt:lpwstr>
  </property>
  <property fmtid="{D5CDD505-2E9C-101B-9397-08002B2CF9AE}" pid="6" name="_AuthorEmailDisplayName">
    <vt:lpwstr>Tagliapietra Costanza</vt:lpwstr>
  </property>
  <property fmtid="{D5CDD505-2E9C-101B-9397-08002B2CF9AE}" pid="7" name="MSIP_Label_522560d7-a7ac-44b6-93be-422253ba2ebe_Enabled">
    <vt:lpwstr>true</vt:lpwstr>
  </property>
  <property fmtid="{D5CDD505-2E9C-101B-9397-08002B2CF9AE}" pid="8" name="MSIP_Label_522560d7-a7ac-44b6-93be-422253ba2ebe_SetDate">
    <vt:lpwstr>2026-03-03T15:46:47Z</vt:lpwstr>
  </property>
  <property fmtid="{D5CDD505-2E9C-101B-9397-08002B2CF9AE}" pid="9" name="MSIP_Label_522560d7-a7ac-44b6-93be-422253ba2ebe_Method">
    <vt:lpwstr>Privileged</vt:lpwstr>
  </property>
  <property fmtid="{D5CDD505-2E9C-101B-9397-08002B2CF9AE}" pid="10" name="MSIP_Label_522560d7-a7ac-44b6-93be-422253ba2ebe_Name">
    <vt:lpwstr>C0 - Public</vt:lpwstr>
  </property>
  <property fmtid="{D5CDD505-2E9C-101B-9397-08002B2CF9AE}" pid="11" name="MSIP_Label_522560d7-a7ac-44b6-93be-422253ba2ebe_SiteId">
    <vt:lpwstr>8f37d23c-8237-447d-8298-a223ad163ff4</vt:lpwstr>
  </property>
  <property fmtid="{D5CDD505-2E9C-101B-9397-08002B2CF9AE}" pid="12" name="MSIP_Label_522560d7-a7ac-44b6-93be-422253ba2ebe_ActionId">
    <vt:lpwstr>72b22936-4d95-4840-a569-acb160fe18e7</vt:lpwstr>
  </property>
  <property fmtid="{D5CDD505-2E9C-101B-9397-08002B2CF9AE}" pid="13" name="MSIP_Label_522560d7-a7ac-44b6-93be-422253ba2ebe_ContentBits">
    <vt:lpwstr>0</vt:lpwstr>
  </property>
  <property fmtid="{D5CDD505-2E9C-101B-9397-08002B2CF9AE}" pid="14" name="MSIP_Label_522560d7-a7ac-44b6-93be-422253ba2ebe_Tag">
    <vt:lpwstr>50, 0, 1, 1</vt:lpwstr>
  </property>
  <property fmtid="{D5CDD505-2E9C-101B-9397-08002B2CF9AE}" pid="15" name="ContentTypeId">
    <vt:lpwstr>0x0101001AAB29ABC3E10B4C8EEF91555D7970FD</vt:lpwstr>
  </property>
</Properties>
</file>